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20C" w:rsidRPr="002E1643" w:rsidRDefault="001A420C" w:rsidP="00D605D0">
      <w:pPr>
        <w:jc w:val="center"/>
        <w:rPr>
          <w:b/>
          <w:bCs/>
          <w:sz w:val="36"/>
          <w:szCs w:val="36"/>
          <w:u w:val="single"/>
          <w:lang w:val="el-GR"/>
        </w:rPr>
      </w:pPr>
      <w:r w:rsidRPr="002E1643">
        <w:rPr>
          <w:b/>
          <w:bCs/>
          <w:sz w:val="36"/>
          <w:szCs w:val="36"/>
          <w:u w:val="single"/>
          <w:lang w:val="el-GR"/>
        </w:rPr>
        <w:t>ΔΕΛΤΙΟ ΤΥΠΟΥ</w:t>
      </w:r>
    </w:p>
    <w:p w:rsidR="001A420C" w:rsidRPr="002E1643" w:rsidRDefault="001A420C" w:rsidP="00D605D0">
      <w:pPr>
        <w:jc w:val="center"/>
        <w:rPr>
          <w:b/>
          <w:bCs/>
          <w:sz w:val="32"/>
          <w:szCs w:val="32"/>
          <w:lang w:val="el-GR"/>
        </w:rPr>
      </w:pPr>
      <w:r w:rsidRPr="002E1643">
        <w:rPr>
          <w:b/>
          <w:bCs/>
          <w:sz w:val="32"/>
          <w:szCs w:val="32"/>
        </w:rPr>
        <w:t>CG</w:t>
      </w:r>
      <w:r w:rsidRPr="002E1643">
        <w:rPr>
          <w:b/>
          <w:bCs/>
          <w:sz w:val="32"/>
          <w:szCs w:val="32"/>
          <w:lang w:val="el-GR"/>
        </w:rPr>
        <w:t xml:space="preserve">210: ΝΕΑ ΘΕΡΑΠΕΙΑ ΓΙΑ ΤΗ ΤΡΙΧΟΠΤΩΣΗ ΠΡΟΣΦΕΡΕΙ ΑΠΟΤΕΛΕΣΜΑΤΑ ΣΤΟΥΣ ΠΡΩΤΟΥΣ ΤΡΕΙΣ ΜΗΝΕΣ </w:t>
      </w:r>
    </w:p>
    <w:p w:rsidR="001A420C" w:rsidRPr="002E1643" w:rsidRDefault="001A420C" w:rsidP="00ED09D1">
      <w:pPr>
        <w:jc w:val="right"/>
        <w:rPr>
          <w:b/>
          <w:bCs/>
          <w:i/>
          <w:iCs/>
          <w:sz w:val="28"/>
          <w:szCs w:val="28"/>
          <w:lang w:val="el-GR"/>
        </w:rPr>
      </w:pPr>
      <w:r w:rsidRPr="002E1643">
        <w:rPr>
          <w:b/>
          <w:bCs/>
          <w:i/>
          <w:iCs/>
          <w:sz w:val="28"/>
          <w:szCs w:val="28"/>
          <w:lang w:val="el-GR"/>
        </w:rPr>
        <w:t xml:space="preserve">Αποτελέσματα διεθνών κλινικών  μελετών δείχνουν: </w:t>
      </w:r>
    </w:p>
    <w:p w:rsidR="001A420C" w:rsidRPr="002E1643" w:rsidRDefault="001A420C" w:rsidP="00ED09D1">
      <w:pPr>
        <w:pStyle w:val="ListParagraph"/>
        <w:numPr>
          <w:ilvl w:val="0"/>
          <w:numId w:val="3"/>
        </w:numPr>
        <w:jc w:val="right"/>
        <w:rPr>
          <w:b/>
          <w:bCs/>
          <w:i/>
          <w:iCs/>
          <w:sz w:val="28"/>
          <w:szCs w:val="28"/>
          <w:lang w:val="el-GR"/>
        </w:rPr>
      </w:pPr>
      <w:r w:rsidRPr="002E1643">
        <w:rPr>
          <w:b/>
          <w:bCs/>
          <w:i/>
          <w:iCs/>
          <w:sz w:val="28"/>
          <w:szCs w:val="28"/>
          <w:lang w:val="el-GR"/>
        </w:rPr>
        <w:t>Μείωση της πτώσης τριχών σε λιγότερο από 44 ημέρες</w:t>
      </w:r>
    </w:p>
    <w:p w:rsidR="001A420C" w:rsidRPr="002E1643" w:rsidRDefault="001A420C" w:rsidP="00ED09D1">
      <w:pPr>
        <w:pStyle w:val="ListParagraph"/>
        <w:numPr>
          <w:ilvl w:val="0"/>
          <w:numId w:val="3"/>
        </w:numPr>
        <w:jc w:val="right"/>
        <w:rPr>
          <w:b/>
          <w:bCs/>
          <w:i/>
          <w:iCs/>
          <w:sz w:val="28"/>
          <w:szCs w:val="28"/>
          <w:lang w:val="el-GR"/>
        </w:rPr>
      </w:pPr>
      <w:r w:rsidRPr="002E1643">
        <w:rPr>
          <w:b/>
          <w:bCs/>
          <w:i/>
          <w:iCs/>
          <w:sz w:val="28"/>
          <w:szCs w:val="28"/>
          <w:lang w:val="el-GR"/>
        </w:rPr>
        <w:t>11% αύξηση του αριθμού των τριχών μετά από 3 μήνες</w:t>
      </w:r>
    </w:p>
    <w:p w:rsidR="001A420C" w:rsidRPr="002E1643" w:rsidRDefault="001A420C" w:rsidP="00A764F9">
      <w:pPr>
        <w:jc w:val="both"/>
        <w:rPr>
          <w:b/>
          <w:bCs/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Αθήνα, </w:t>
      </w:r>
      <w:r w:rsidRPr="006F2033">
        <w:rPr>
          <w:sz w:val="24"/>
          <w:szCs w:val="24"/>
          <w:lang w:val="el-GR"/>
        </w:rPr>
        <w:t>04</w:t>
      </w:r>
      <w:r>
        <w:rPr>
          <w:sz w:val="24"/>
          <w:szCs w:val="24"/>
          <w:lang w:val="el-GR"/>
        </w:rPr>
        <w:t>/</w:t>
      </w:r>
      <w:r w:rsidRPr="006F2033">
        <w:rPr>
          <w:sz w:val="24"/>
          <w:szCs w:val="24"/>
          <w:lang w:val="el-GR"/>
        </w:rPr>
        <w:t>09</w:t>
      </w:r>
      <w:r w:rsidRPr="002E1643">
        <w:rPr>
          <w:sz w:val="24"/>
          <w:szCs w:val="24"/>
          <w:lang w:val="el-GR"/>
        </w:rPr>
        <w:t>/13</w:t>
      </w:r>
      <w:r w:rsidRPr="002E1643">
        <w:rPr>
          <w:b/>
          <w:bCs/>
          <w:sz w:val="24"/>
          <w:szCs w:val="24"/>
          <w:lang w:val="el-GR"/>
        </w:rPr>
        <w:t>. Σε πρόσφατη συνάντηση των κορυφαίων Ελλήνων Δερματολόγων-Ακαδημαϊκών από τα Πανεπιστημιακά Ιδρύματα της χώρας</w:t>
      </w:r>
      <w:r w:rsidRPr="002E1643">
        <w:rPr>
          <w:sz w:val="24"/>
          <w:szCs w:val="24"/>
          <w:lang w:val="el-GR"/>
        </w:rPr>
        <w:t xml:space="preserve"> με θέμα την </w:t>
      </w:r>
      <w:r w:rsidRPr="002E1643">
        <w:rPr>
          <w:b/>
          <w:bCs/>
          <w:sz w:val="24"/>
          <w:szCs w:val="24"/>
          <w:lang w:val="el-GR"/>
        </w:rPr>
        <w:t>ανδρογενετική αλωπεκία</w:t>
      </w:r>
      <w:r w:rsidRPr="002E1643">
        <w:rPr>
          <w:sz w:val="24"/>
          <w:szCs w:val="24"/>
          <w:lang w:val="el-GR"/>
        </w:rPr>
        <w:t xml:space="preserve"> και τις νεότερες εξελίξεις στην αντιμετώπισή της, </w:t>
      </w:r>
      <w:r w:rsidRPr="002E1643">
        <w:rPr>
          <w:b/>
          <w:bCs/>
          <w:sz w:val="24"/>
          <w:szCs w:val="24"/>
          <w:lang w:val="el-GR"/>
        </w:rPr>
        <w:t xml:space="preserve">παρουσιάστηκε  το νέο καλλυντικό </w:t>
      </w:r>
      <w:r w:rsidRPr="002E1643">
        <w:rPr>
          <w:b/>
          <w:bCs/>
          <w:sz w:val="24"/>
          <w:szCs w:val="24"/>
        </w:rPr>
        <w:t>CG</w:t>
      </w:r>
      <w:r w:rsidRPr="002E1643">
        <w:rPr>
          <w:b/>
          <w:bCs/>
          <w:sz w:val="24"/>
          <w:szCs w:val="24"/>
          <w:lang w:val="el-GR"/>
        </w:rPr>
        <w:t>210</w:t>
      </w:r>
      <w:r w:rsidRPr="002E1643">
        <w:rPr>
          <w:sz w:val="24"/>
          <w:szCs w:val="24"/>
          <w:lang w:val="el-GR"/>
        </w:rPr>
        <w:t xml:space="preserve"> που διατίθεται πλέον στη χώρα μας από την εταιρεία </w:t>
      </w:r>
      <w:r w:rsidRPr="002E1643">
        <w:rPr>
          <w:b/>
          <w:bCs/>
          <w:sz w:val="24"/>
          <w:szCs w:val="24"/>
        </w:rPr>
        <w:t>Libytec</w:t>
      </w:r>
      <w:r w:rsidRPr="002E1643">
        <w:rPr>
          <w:sz w:val="24"/>
          <w:szCs w:val="24"/>
          <w:lang w:val="el-GR"/>
        </w:rPr>
        <w:t xml:space="preserve">. </w:t>
      </w:r>
      <w:r w:rsidRPr="002E1643">
        <w:rPr>
          <w:sz w:val="24"/>
          <w:szCs w:val="24"/>
        </w:rPr>
        <w:t>T</w:t>
      </w:r>
      <w:r w:rsidRPr="002E1643">
        <w:rPr>
          <w:sz w:val="24"/>
          <w:szCs w:val="24"/>
          <w:lang w:val="el-GR"/>
        </w:rPr>
        <w:t xml:space="preserve">ην παρουσίαση του προϊόντος στην ελληνική ιατρική κοινότητα πραγματοποίησε ο </w:t>
      </w:r>
      <w:r w:rsidRPr="002E1643">
        <w:rPr>
          <w:b/>
          <w:bCs/>
          <w:sz w:val="24"/>
          <w:szCs w:val="24"/>
        </w:rPr>
        <w:t>Dr</w:t>
      </w:r>
      <w:r w:rsidRPr="002E1643">
        <w:rPr>
          <w:b/>
          <w:bCs/>
          <w:sz w:val="24"/>
          <w:szCs w:val="24"/>
          <w:lang w:val="el-GR"/>
        </w:rPr>
        <w:t xml:space="preserve">. </w:t>
      </w:r>
      <w:r w:rsidRPr="002E1643">
        <w:rPr>
          <w:b/>
          <w:bCs/>
          <w:sz w:val="24"/>
          <w:szCs w:val="24"/>
        </w:rPr>
        <w:t>Liu</w:t>
      </w:r>
      <w:r w:rsidRPr="002E1643">
        <w:rPr>
          <w:b/>
          <w:bCs/>
          <w:sz w:val="24"/>
          <w:szCs w:val="24"/>
          <w:lang w:val="el-GR"/>
        </w:rPr>
        <w:t xml:space="preserve">, Καθηγητής στο </w:t>
      </w:r>
      <w:r w:rsidRPr="002E1643">
        <w:rPr>
          <w:b/>
          <w:bCs/>
          <w:sz w:val="24"/>
          <w:szCs w:val="24"/>
        </w:rPr>
        <w:t>Harvard</w:t>
      </w:r>
      <w:r w:rsidRPr="002E1643">
        <w:rPr>
          <w:b/>
          <w:bCs/>
          <w:sz w:val="24"/>
          <w:szCs w:val="24"/>
          <w:lang w:val="el-GR"/>
        </w:rPr>
        <w:t xml:space="preserve"> </w:t>
      </w:r>
      <w:r w:rsidRPr="002E1643">
        <w:rPr>
          <w:b/>
          <w:bCs/>
          <w:sz w:val="24"/>
          <w:szCs w:val="24"/>
        </w:rPr>
        <w:t>Medical</w:t>
      </w:r>
      <w:r w:rsidRPr="002E1643">
        <w:rPr>
          <w:b/>
          <w:bCs/>
          <w:sz w:val="24"/>
          <w:szCs w:val="24"/>
          <w:lang w:val="el-GR"/>
        </w:rPr>
        <w:t xml:space="preserve"> </w:t>
      </w:r>
      <w:r w:rsidRPr="002E1643">
        <w:rPr>
          <w:b/>
          <w:bCs/>
          <w:sz w:val="24"/>
          <w:szCs w:val="24"/>
        </w:rPr>
        <w:t>School</w:t>
      </w:r>
      <w:r w:rsidRPr="002E1643">
        <w:rPr>
          <w:b/>
          <w:bCs/>
          <w:sz w:val="24"/>
          <w:szCs w:val="24"/>
          <w:lang w:val="el-GR"/>
        </w:rPr>
        <w:t xml:space="preserve"> και επικεφαλής της ερευνητικής ομάδας για την ανάπτυξη του σκευάσματος.</w:t>
      </w:r>
    </w:p>
    <w:p w:rsidR="001A420C" w:rsidRPr="002E1643" w:rsidRDefault="001A420C" w:rsidP="00A764F9">
      <w:pPr>
        <w:jc w:val="both"/>
        <w:rPr>
          <w:b/>
          <w:bCs/>
          <w:sz w:val="24"/>
          <w:szCs w:val="24"/>
          <w:lang w:val="el-GR"/>
        </w:rPr>
      </w:pPr>
      <w:r w:rsidRPr="002E1643">
        <w:rPr>
          <w:sz w:val="24"/>
          <w:szCs w:val="24"/>
          <w:lang w:val="el-GR"/>
        </w:rPr>
        <w:t xml:space="preserve"> Το </w:t>
      </w:r>
      <w:r w:rsidRPr="002E1643">
        <w:rPr>
          <w:sz w:val="24"/>
          <w:szCs w:val="24"/>
        </w:rPr>
        <w:t>CG</w:t>
      </w:r>
      <w:r w:rsidRPr="002E1643">
        <w:rPr>
          <w:sz w:val="24"/>
          <w:szCs w:val="24"/>
          <w:lang w:val="el-GR"/>
        </w:rPr>
        <w:t xml:space="preserve">210 απευθύνεται σε άντρες και γυναίκες που αντιμετωπίζουν πρόβλημα τριχόπτωσης. Ο μοναδικός και καινοτόμος μηχανισμός δράσης του </w:t>
      </w:r>
      <w:r w:rsidRPr="002E1643">
        <w:rPr>
          <w:sz w:val="24"/>
          <w:szCs w:val="24"/>
        </w:rPr>
        <w:t>CG</w:t>
      </w:r>
      <w:r w:rsidRPr="002E1643">
        <w:rPr>
          <w:sz w:val="24"/>
          <w:szCs w:val="24"/>
          <w:lang w:val="el-GR"/>
        </w:rPr>
        <w:t>210 διακρίνεται σε τρία μέρη:</w:t>
      </w:r>
      <w:bookmarkStart w:id="0" w:name="_GoBack"/>
      <w:bookmarkEnd w:id="0"/>
    </w:p>
    <w:p w:rsidR="001A420C" w:rsidRPr="002E1643" w:rsidRDefault="001A420C" w:rsidP="00A764F9">
      <w:pPr>
        <w:pStyle w:val="ListParagraph"/>
        <w:numPr>
          <w:ilvl w:val="0"/>
          <w:numId w:val="1"/>
        </w:numPr>
        <w:jc w:val="both"/>
        <w:rPr>
          <w:b/>
          <w:bCs/>
          <w:sz w:val="24"/>
          <w:szCs w:val="24"/>
          <w:lang w:val="el-GR"/>
        </w:rPr>
      </w:pPr>
      <w:r w:rsidRPr="002E1643">
        <w:rPr>
          <w:b/>
          <w:bCs/>
          <w:sz w:val="24"/>
          <w:szCs w:val="24"/>
          <w:lang w:val="el-GR"/>
        </w:rPr>
        <w:t xml:space="preserve">Μοριακό: Αποκατάσταση των επιπέδων της αντιαποπτωτικής πρωτεΐνης </w:t>
      </w:r>
      <w:r w:rsidRPr="002E1643">
        <w:rPr>
          <w:b/>
          <w:bCs/>
          <w:sz w:val="24"/>
          <w:szCs w:val="24"/>
        </w:rPr>
        <w:t>Bcl</w:t>
      </w:r>
      <w:r w:rsidRPr="002E1643">
        <w:rPr>
          <w:b/>
          <w:bCs/>
          <w:sz w:val="24"/>
          <w:szCs w:val="24"/>
          <w:lang w:val="el-GR"/>
        </w:rPr>
        <w:t xml:space="preserve">-2 πλησίον των φυσιολογικών τιμών (+89%). </w:t>
      </w:r>
    </w:p>
    <w:p w:rsidR="001A420C" w:rsidRPr="002E1643" w:rsidRDefault="001A420C" w:rsidP="00A764F9">
      <w:pPr>
        <w:pStyle w:val="ListParagraph"/>
        <w:numPr>
          <w:ilvl w:val="0"/>
          <w:numId w:val="1"/>
        </w:numPr>
        <w:jc w:val="both"/>
        <w:rPr>
          <w:b/>
          <w:bCs/>
          <w:sz w:val="24"/>
          <w:szCs w:val="24"/>
          <w:lang w:val="el-GR"/>
        </w:rPr>
      </w:pPr>
      <w:r w:rsidRPr="002E1643">
        <w:rPr>
          <w:b/>
          <w:bCs/>
          <w:sz w:val="24"/>
          <w:szCs w:val="24"/>
          <w:lang w:val="el-GR"/>
        </w:rPr>
        <w:t xml:space="preserve">Κυτταρικό: Αύξηση των κυττάρων </w:t>
      </w:r>
      <w:r w:rsidRPr="002E1643">
        <w:rPr>
          <w:b/>
          <w:bCs/>
          <w:sz w:val="24"/>
          <w:szCs w:val="24"/>
        </w:rPr>
        <w:t>Langerhans</w:t>
      </w:r>
      <w:r w:rsidRPr="002E1643">
        <w:rPr>
          <w:b/>
          <w:bCs/>
          <w:sz w:val="24"/>
          <w:szCs w:val="24"/>
          <w:lang w:val="el-GR"/>
        </w:rPr>
        <w:t xml:space="preserve"> (+74%) τα οποία εξασφαλίζουν την ανοσολογική απάντηση και ασκούν αντιφλεγμονώδη δράση. </w:t>
      </w:r>
    </w:p>
    <w:p w:rsidR="001A420C" w:rsidRPr="002E1643" w:rsidRDefault="001A420C" w:rsidP="00A764F9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el-GR"/>
        </w:rPr>
      </w:pPr>
      <w:r w:rsidRPr="002E1643">
        <w:rPr>
          <w:b/>
          <w:bCs/>
          <w:sz w:val="24"/>
          <w:szCs w:val="24"/>
          <w:lang w:val="el-GR"/>
        </w:rPr>
        <w:t xml:space="preserve">Κοσμητικό: Αύξηση των επιπέδων του κολλαγόνου (+67%)  με αποτέλεσμα την καλύτερη εμφύτευση των τριχών και την μείωση της πρόσβασης εξωτερικών μολυσματικών παραγόντων. </w:t>
      </w:r>
    </w:p>
    <w:p w:rsidR="001A420C" w:rsidRPr="002E1643" w:rsidRDefault="001A420C" w:rsidP="00A16BEA">
      <w:pPr>
        <w:jc w:val="both"/>
        <w:rPr>
          <w:sz w:val="24"/>
          <w:szCs w:val="24"/>
          <w:lang w:val="el-GR"/>
        </w:rPr>
      </w:pPr>
      <w:r w:rsidRPr="002E1643">
        <w:rPr>
          <w:sz w:val="24"/>
          <w:szCs w:val="24"/>
          <w:lang w:val="el-GR"/>
        </w:rPr>
        <w:t>Το αποτέλεσμα είναι ότι η τριχόπτωση επανέρχεται στο φυσιολογικό σε λιγότερο από 44 ημέρες.</w:t>
      </w:r>
    </w:p>
    <w:p w:rsidR="001A420C" w:rsidRPr="002E1643" w:rsidRDefault="001A420C" w:rsidP="00A764F9">
      <w:pPr>
        <w:jc w:val="both"/>
        <w:rPr>
          <w:sz w:val="24"/>
          <w:szCs w:val="24"/>
          <w:lang w:val="el-GR"/>
        </w:rPr>
      </w:pPr>
      <w:r w:rsidRPr="002E1643">
        <w:rPr>
          <w:sz w:val="24"/>
          <w:szCs w:val="24"/>
          <w:lang w:val="el-GR"/>
        </w:rPr>
        <w:t xml:space="preserve">Τα παραπάνω επιβεβαιώνονται από </w:t>
      </w:r>
      <w:r w:rsidRPr="002E1643">
        <w:rPr>
          <w:b/>
          <w:bCs/>
          <w:sz w:val="24"/>
          <w:szCs w:val="24"/>
          <w:lang w:val="el-GR"/>
        </w:rPr>
        <w:t xml:space="preserve">κλινική μελέτη (Καθ. </w:t>
      </w:r>
      <w:r w:rsidRPr="002E1643">
        <w:rPr>
          <w:b/>
          <w:bCs/>
          <w:sz w:val="24"/>
          <w:szCs w:val="24"/>
        </w:rPr>
        <w:t>Cuc</w:t>
      </w:r>
      <w:r w:rsidRPr="002E1643">
        <w:rPr>
          <w:b/>
          <w:bCs/>
          <w:sz w:val="24"/>
          <w:szCs w:val="24"/>
          <w:lang w:val="el-GR"/>
        </w:rPr>
        <w:t xml:space="preserve">é, Πανεπιστήμιο του Σάο Πάολο, Βραζιλία) σε άνδρες με ανδρογενετική αλωπεκία οι οποίοι υποβλήθηκαν σε βιοψία στο τριχωτό της κεφαλής ύστερα από 3μηνη τοπική χορήγηση </w:t>
      </w:r>
      <w:r w:rsidRPr="002E1643">
        <w:rPr>
          <w:b/>
          <w:bCs/>
          <w:sz w:val="24"/>
          <w:szCs w:val="24"/>
        </w:rPr>
        <w:t>CG</w:t>
      </w:r>
      <w:r w:rsidRPr="002E1643">
        <w:rPr>
          <w:b/>
          <w:bCs/>
          <w:sz w:val="24"/>
          <w:szCs w:val="24"/>
          <w:lang w:val="el-GR"/>
        </w:rPr>
        <w:t>210</w:t>
      </w:r>
      <w:r w:rsidRPr="002E1643">
        <w:rPr>
          <w:sz w:val="24"/>
          <w:szCs w:val="24"/>
          <w:lang w:val="el-GR"/>
        </w:rPr>
        <w:t xml:space="preserve">. Αξιοσημείωτο αποτελεί το γεγονός ότι η κλινική μελέτη δεν έδειξε ανεπιθύμητες ενέργειες από τη χρήση του </w:t>
      </w:r>
      <w:r w:rsidRPr="002E1643">
        <w:rPr>
          <w:sz w:val="24"/>
          <w:szCs w:val="24"/>
        </w:rPr>
        <w:t>CG</w:t>
      </w:r>
      <w:r w:rsidRPr="002E1643">
        <w:rPr>
          <w:sz w:val="24"/>
          <w:szCs w:val="24"/>
          <w:lang w:val="el-GR"/>
        </w:rPr>
        <w:t xml:space="preserve">210. </w:t>
      </w:r>
    </w:p>
    <w:p w:rsidR="001A420C" w:rsidRPr="002E1643" w:rsidRDefault="001A420C" w:rsidP="001323AB">
      <w:pPr>
        <w:spacing w:after="0"/>
        <w:jc w:val="both"/>
        <w:rPr>
          <w:i/>
          <w:iCs/>
          <w:sz w:val="24"/>
          <w:szCs w:val="24"/>
          <w:lang w:val="el-GR"/>
        </w:rPr>
      </w:pPr>
      <w:r w:rsidRPr="002E1643">
        <w:rPr>
          <w:sz w:val="24"/>
          <w:szCs w:val="24"/>
          <w:lang w:val="el-GR"/>
        </w:rPr>
        <w:t xml:space="preserve">Η Ελληνική ιατρική κοινότητα καλωσόρισε την είσοδο του </w:t>
      </w:r>
      <w:r w:rsidRPr="002E1643">
        <w:rPr>
          <w:sz w:val="24"/>
          <w:szCs w:val="24"/>
        </w:rPr>
        <w:t>CG</w:t>
      </w:r>
      <w:r w:rsidRPr="002E1643">
        <w:rPr>
          <w:sz w:val="24"/>
          <w:szCs w:val="24"/>
          <w:lang w:val="el-GR"/>
        </w:rPr>
        <w:t xml:space="preserve">210 στην Ελληνική αγορά. </w:t>
      </w:r>
      <w:r w:rsidRPr="002E1643">
        <w:rPr>
          <w:b/>
          <w:bCs/>
          <w:sz w:val="24"/>
          <w:szCs w:val="24"/>
          <w:lang w:val="el-GR"/>
        </w:rPr>
        <w:t>Ο κ. Δ.Ρηγόπουλος, Καθηγητής Δερματολογίας-Αφροδισιολογίας του Πανεπιστημίου Αθηνών και Πρόεδρος της Ελληνικής Δερματολογικής-Αφροδισιολογικής Εταιρείας</w:t>
      </w:r>
      <w:r w:rsidRPr="002E1643">
        <w:rPr>
          <w:sz w:val="24"/>
          <w:szCs w:val="24"/>
          <w:lang w:val="el-GR"/>
        </w:rPr>
        <w:t xml:space="preserve">, ως εκ των συντονιστών της συνάντησης, δήλωσε χαρακτηριστικά: </w:t>
      </w:r>
      <w:r w:rsidRPr="002E1643">
        <w:rPr>
          <w:i/>
          <w:iCs/>
          <w:sz w:val="24"/>
          <w:szCs w:val="24"/>
          <w:lang w:val="el-GR"/>
        </w:rPr>
        <w:t xml:space="preserve">«Με ιδιαίτερη χαρά παρατηρούμε ότι έρχονται καινούρια προϊόντα, όπως το </w:t>
      </w:r>
      <w:r w:rsidRPr="002E1643">
        <w:rPr>
          <w:i/>
          <w:iCs/>
          <w:sz w:val="24"/>
          <w:szCs w:val="24"/>
        </w:rPr>
        <w:t>CG</w:t>
      </w:r>
      <w:r w:rsidRPr="002E1643">
        <w:rPr>
          <w:i/>
          <w:iCs/>
          <w:sz w:val="24"/>
          <w:szCs w:val="24"/>
          <w:lang w:val="el-GR"/>
        </w:rPr>
        <w:t xml:space="preserve">210, με ιδιαίτερο μηχανισμό δράσης τα οποία ακολουθούνται από κλινικές μελέτες με </w:t>
      </w:r>
      <w:r>
        <w:rPr>
          <w:i/>
          <w:iCs/>
          <w:sz w:val="24"/>
          <w:szCs w:val="24"/>
          <w:lang w:val="el-GR"/>
        </w:rPr>
        <w:t>σημαντικά</w:t>
      </w:r>
      <w:r w:rsidRPr="002E1643">
        <w:rPr>
          <w:i/>
          <w:iCs/>
          <w:sz w:val="24"/>
          <w:szCs w:val="24"/>
          <w:lang w:val="el-GR"/>
        </w:rPr>
        <w:t xml:space="preserve"> συμπεράσματα. Τα αποτελέσματα είναι ενθαρρυντικά και υποσχόμενα. Το </w:t>
      </w:r>
      <w:r w:rsidRPr="002E1643">
        <w:rPr>
          <w:i/>
          <w:iCs/>
          <w:sz w:val="24"/>
          <w:szCs w:val="24"/>
        </w:rPr>
        <w:t>CG</w:t>
      </w:r>
      <w:r w:rsidRPr="002E1643">
        <w:rPr>
          <w:i/>
          <w:iCs/>
          <w:sz w:val="24"/>
          <w:szCs w:val="24"/>
          <w:lang w:val="el-GR"/>
        </w:rPr>
        <w:t xml:space="preserve">210 μπορεί να χρησιμοποιηθεί σε περιστατικά </w:t>
      </w:r>
      <w:r w:rsidRPr="002E1643">
        <w:rPr>
          <w:sz w:val="24"/>
          <w:szCs w:val="24"/>
          <w:lang w:val="el-GR"/>
        </w:rPr>
        <w:t xml:space="preserve">εποχιακής τριχόπτωσης, </w:t>
      </w:r>
      <w:r w:rsidRPr="002E1643">
        <w:rPr>
          <w:i/>
          <w:iCs/>
          <w:sz w:val="24"/>
          <w:szCs w:val="24"/>
          <w:lang w:val="el-GR"/>
        </w:rPr>
        <w:t xml:space="preserve">σε συνδυασμό με συμπληρώματα διατροφής, με φαρμακευτική αγωγή και στα μεσοδιαστήματα της φαρμακευτικής αγωγής. Πέρα από την ανδρογενετική αλωπεκία, αναμένουμε τα κλινικά αποτελέσματα για την πιο εκτεταμένη χρήση του </w:t>
      </w:r>
      <w:r w:rsidRPr="002E1643">
        <w:rPr>
          <w:i/>
          <w:iCs/>
          <w:sz w:val="24"/>
          <w:szCs w:val="24"/>
        </w:rPr>
        <w:t>CG</w:t>
      </w:r>
      <w:r w:rsidRPr="002E1643">
        <w:rPr>
          <w:i/>
          <w:iCs/>
          <w:sz w:val="24"/>
          <w:szCs w:val="24"/>
          <w:lang w:val="el-GR"/>
        </w:rPr>
        <w:t>210, όπως για παράδειγμα σε ασθενείς σε χημειοθεραπεία.»</w:t>
      </w:r>
    </w:p>
    <w:p w:rsidR="001A420C" w:rsidRPr="002E1643" w:rsidRDefault="001A420C" w:rsidP="00A764F9">
      <w:pPr>
        <w:jc w:val="both"/>
        <w:rPr>
          <w:sz w:val="24"/>
          <w:szCs w:val="24"/>
          <w:lang w:val="el-GR"/>
        </w:rPr>
      </w:pPr>
    </w:p>
    <w:p w:rsidR="001A420C" w:rsidRPr="00ED7293" w:rsidRDefault="001A420C" w:rsidP="00ED7293">
      <w:pPr>
        <w:jc w:val="both"/>
        <w:rPr>
          <w:b/>
          <w:bCs/>
          <w:sz w:val="24"/>
          <w:szCs w:val="24"/>
          <w:lang w:val="el-GR"/>
        </w:rPr>
      </w:pPr>
      <w:r w:rsidRPr="00ED7293">
        <w:rPr>
          <w:b/>
          <w:bCs/>
          <w:sz w:val="24"/>
          <w:szCs w:val="24"/>
          <w:lang w:val="el-GR"/>
        </w:rPr>
        <w:t>Ανδρογενετική Αλωπεκία</w:t>
      </w:r>
    </w:p>
    <w:p w:rsidR="001A420C" w:rsidRPr="00ED7293" w:rsidRDefault="001A420C" w:rsidP="00ED7293">
      <w:pPr>
        <w:jc w:val="both"/>
        <w:rPr>
          <w:b/>
          <w:bCs/>
          <w:sz w:val="24"/>
          <w:szCs w:val="24"/>
          <w:lang w:val="el-GR"/>
        </w:rPr>
      </w:pPr>
      <w:r w:rsidRPr="00ED7293">
        <w:rPr>
          <w:b/>
          <w:bCs/>
          <w:sz w:val="24"/>
          <w:szCs w:val="24"/>
          <w:lang w:val="el-GR"/>
        </w:rPr>
        <w:t>Άνδρες</w:t>
      </w:r>
    </w:p>
    <w:p w:rsidR="001A420C" w:rsidRPr="00ED7293" w:rsidRDefault="001A420C" w:rsidP="00ED7293">
      <w:pPr>
        <w:jc w:val="both"/>
        <w:rPr>
          <w:sz w:val="24"/>
          <w:szCs w:val="24"/>
          <w:lang w:val="el-GR"/>
        </w:rPr>
      </w:pPr>
      <w:r w:rsidRPr="00ED7293">
        <w:rPr>
          <w:sz w:val="24"/>
          <w:szCs w:val="24"/>
          <w:lang w:val="el-GR"/>
        </w:rPr>
        <w:t>H ανδρογενετική αλωπεκία (ΑΓΑ), η κύρια αιτία  απώλειας μαλλιών στους άνδρες, χαρακτηρίζεται από αραίωση ή και μόνιμη απώλεια τριχών μετωπιαίας, βρεγματικής περιοχής, κροταφικών η οποία ξεκινά στην εφηβεία,  στην 2η  ή στην 3η  δεκαετία του ανδρός. 50% των ανδρών (καυκασίας φυλής) στην ηλικία των 40 ετών εμφανίζουν ανδρογενετική αλωπεκία, ενώ το ποσοστό στην ηλικία των 70 φτάνει στο 80%.</w:t>
      </w:r>
    </w:p>
    <w:p w:rsidR="001A420C" w:rsidRPr="00ED7293" w:rsidRDefault="001A420C" w:rsidP="00ED7293">
      <w:pPr>
        <w:jc w:val="both"/>
        <w:rPr>
          <w:b/>
          <w:bCs/>
          <w:sz w:val="24"/>
          <w:szCs w:val="24"/>
          <w:lang w:val="el-GR"/>
        </w:rPr>
      </w:pPr>
      <w:r w:rsidRPr="00ED7293">
        <w:rPr>
          <w:b/>
          <w:bCs/>
          <w:sz w:val="24"/>
          <w:szCs w:val="24"/>
          <w:lang w:val="el-GR"/>
        </w:rPr>
        <w:t>Γυναίκες</w:t>
      </w:r>
    </w:p>
    <w:p w:rsidR="001A420C" w:rsidRPr="00ED7293" w:rsidRDefault="001A420C" w:rsidP="00ED7293">
      <w:pPr>
        <w:jc w:val="both"/>
        <w:rPr>
          <w:sz w:val="24"/>
          <w:szCs w:val="24"/>
          <w:lang w:val="el-GR"/>
        </w:rPr>
      </w:pPr>
      <w:r w:rsidRPr="00ED7293">
        <w:rPr>
          <w:sz w:val="24"/>
          <w:szCs w:val="24"/>
          <w:lang w:val="el-GR"/>
        </w:rPr>
        <w:t xml:space="preserve">H ανδρογενετική αλωπεκία εμφανίζεται στις γυναίκες στα τέλη της 3ης δεκαετίας της ζωής τους (πρώιμη) ή μετεμμηνοπαυσικά (όψιμη) λιγότερο συχνά σε σχέση με τους άνδρες.  Στις ηλικίες 20-30 ετών το ποσοστό των γυναικών με ανδρογενετική αλωπεκία υπολογίζεται σε 6-12%, ενώ σε ηλικίες μεγαλύτερες των 70 ετών σε 40-55%. </w:t>
      </w:r>
    </w:p>
    <w:p w:rsidR="001A420C" w:rsidRPr="00ED7293" w:rsidRDefault="001A420C" w:rsidP="00ED7293">
      <w:pPr>
        <w:jc w:val="both"/>
        <w:rPr>
          <w:b/>
          <w:bCs/>
          <w:sz w:val="24"/>
          <w:szCs w:val="24"/>
          <w:lang w:val="el-GR"/>
        </w:rPr>
      </w:pPr>
      <w:r w:rsidRPr="00ED7293">
        <w:rPr>
          <w:b/>
          <w:bCs/>
          <w:sz w:val="24"/>
          <w:szCs w:val="24"/>
          <w:lang w:val="el-GR"/>
        </w:rPr>
        <w:t>Θεραπείες</w:t>
      </w:r>
    </w:p>
    <w:p w:rsidR="001A420C" w:rsidRPr="00ED7293" w:rsidRDefault="001A420C" w:rsidP="00ED7293">
      <w:pPr>
        <w:jc w:val="both"/>
        <w:rPr>
          <w:sz w:val="24"/>
          <w:szCs w:val="24"/>
          <w:lang w:val="el-GR"/>
        </w:rPr>
      </w:pPr>
      <w:r w:rsidRPr="00ED7293">
        <w:rPr>
          <w:sz w:val="24"/>
          <w:szCs w:val="24"/>
          <w:lang w:val="el-GR"/>
        </w:rPr>
        <w:t>Οι θεραπείες της ανδρογενετικής αλωπεκίας διακρίνονται στις εξής κατηγορίες:</w:t>
      </w:r>
    </w:p>
    <w:p w:rsidR="001A420C" w:rsidRPr="00ED7293" w:rsidRDefault="001A420C" w:rsidP="00ED7293">
      <w:pPr>
        <w:jc w:val="both"/>
        <w:rPr>
          <w:sz w:val="24"/>
          <w:szCs w:val="24"/>
          <w:lang w:val="el-GR"/>
        </w:rPr>
      </w:pPr>
      <w:r w:rsidRPr="00ED7293">
        <w:rPr>
          <w:sz w:val="24"/>
          <w:szCs w:val="24"/>
          <w:lang w:val="el-GR"/>
        </w:rPr>
        <w:t>Τοπική θεραπεία – Μινοξιδίλη,  CG210</w:t>
      </w:r>
    </w:p>
    <w:p w:rsidR="001A420C" w:rsidRPr="00ED7293" w:rsidRDefault="001A420C" w:rsidP="00ED7293">
      <w:pPr>
        <w:jc w:val="both"/>
        <w:rPr>
          <w:sz w:val="24"/>
          <w:szCs w:val="24"/>
          <w:lang w:val="el-GR"/>
        </w:rPr>
      </w:pPr>
      <w:r w:rsidRPr="00ED7293">
        <w:rPr>
          <w:sz w:val="24"/>
          <w:szCs w:val="24"/>
          <w:lang w:val="el-GR"/>
        </w:rPr>
        <w:t>Συστηματική θεραπεία – Φιναστερίδη, Δουταστερίδη, κ.ά.</w:t>
      </w:r>
    </w:p>
    <w:p w:rsidR="001A420C" w:rsidRPr="00ED7293" w:rsidRDefault="001A420C" w:rsidP="00ED7293">
      <w:pPr>
        <w:jc w:val="both"/>
        <w:rPr>
          <w:sz w:val="24"/>
          <w:szCs w:val="24"/>
          <w:lang w:val="el-GR"/>
        </w:rPr>
      </w:pPr>
      <w:r w:rsidRPr="00ED7293">
        <w:rPr>
          <w:sz w:val="24"/>
          <w:szCs w:val="24"/>
          <w:lang w:val="el-GR"/>
        </w:rPr>
        <w:t>Χειρουργική διόρθωση – Μεταμόσχευση τριχοθυλακίων</w:t>
      </w:r>
    </w:p>
    <w:p w:rsidR="001A420C" w:rsidRPr="002E1643" w:rsidRDefault="001A420C" w:rsidP="00ED7293">
      <w:pPr>
        <w:jc w:val="both"/>
        <w:rPr>
          <w:sz w:val="24"/>
          <w:szCs w:val="24"/>
          <w:lang w:val="el-GR"/>
        </w:rPr>
      </w:pPr>
      <w:r w:rsidRPr="00ED7293">
        <w:rPr>
          <w:sz w:val="24"/>
          <w:szCs w:val="24"/>
          <w:lang w:val="el-GR"/>
        </w:rPr>
        <w:t>Τεχνικές camouflage - Χρήση spray που βάφει το δέρμα του τριχωτού, χρήση spray που με ηλεκτροστατική προσκόλληση αυξάνουν το πάχος των τριχών, περούκες από συνθετική ή φυσική τρίχα</w:t>
      </w:r>
    </w:p>
    <w:p w:rsidR="001A420C" w:rsidRPr="006F2033" w:rsidRDefault="001A420C" w:rsidP="00A764F9">
      <w:pPr>
        <w:jc w:val="both"/>
        <w:rPr>
          <w:sz w:val="24"/>
          <w:szCs w:val="24"/>
          <w:lang w:val="el-GR"/>
        </w:rPr>
      </w:pPr>
    </w:p>
    <w:p w:rsidR="001A420C" w:rsidRDefault="001A420C" w:rsidP="00A764F9">
      <w:pPr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Για περισσότερες πληροφορίες:</w:t>
      </w:r>
    </w:p>
    <w:p w:rsidR="001A420C" w:rsidRPr="00ED7293" w:rsidRDefault="001A420C" w:rsidP="00A764F9">
      <w:pPr>
        <w:jc w:val="both"/>
        <w:rPr>
          <w:sz w:val="24"/>
          <w:szCs w:val="24"/>
          <w:lang w:val="el-GR"/>
        </w:rPr>
      </w:pPr>
      <w:r>
        <w:rPr>
          <w:sz w:val="24"/>
          <w:szCs w:val="24"/>
        </w:rPr>
        <w:t>Run</w:t>
      </w:r>
      <w:r w:rsidRPr="00ED7293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</w:rPr>
        <w:t>Communications</w:t>
      </w:r>
      <w:r w:rsidRPr="00ED7293">
        <w:rPr>
          <w:sz w:val="24"/>
          <w:szCs w:val="24"/>
          <w:lang w:val="el-GR"/>
        </w:rPr>
        <w:t xml:space="preserve">, </w:t>
      </w:r>
      <w:r>
        <w:rPr>
          <w:sz w:val="24"/>
          <w:szCs w:val="24"/>
          <w:lang w:val="el-GR"/>
        </w:rPr>
        <w:t>Γιάννης Βλαχογιάννης, τηλ. 215-5605212</w:t>
      </w:r>
    </w:p>
    <w:p w:rsidR="001A420C" w:rsidRPr="002E1643" w:rsidRDefault="001A420C">
      <w:pPr>
        <w:jc w:val="both"/>
        <w:rPr>
          <w:sz w:val="24"/>
          <w:szCs w:val="24"/>
          <w:lang w:val="el-GR"/>
        </w:rPr>
      </w:pPr>
    </w:p>
    <w:sectPr w:rsidR="001A420C" w:rsidRPr="002E1643" w:rsidSect="00583273">
      <w:headerReference w:type="default" r:id="rId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420C" w:rsidRDefault="001A420C" w:rsidP="00ED7293">
      <w:pPr>
        <w:spacing w:after="0" w:line="240" w:lineRule="auto"/>
      </w:pPr>
      <w:r>
        <w:separator/>
      </w:r>
    </w:p>
  </w:endnote>
  <w:endnote w:type="continuationSeparator" w:id="0">
    <w:p w:rsidR="001A420C" w:rsidRDefault="001A420C" w:rsidP="00ED72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420C" w:rsidRDefault="001A420C" w:rsidP="00ED7293">
      <w:pPr>
        <w:spacing w:after="0" w:line="240" w:lineRule="auto"/>
      </w:pPr>
      <w:r>
        <w:separator/>
      </w:r>
    </w:p>
  </w:footnote>
  <w:footnote w:type="continuationSeparator" w:id="0">
    <w:p w:rsidR="001A420C" w:rsidRDefault="001A420C" w:rsidP="00ED72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420C" w:rsidRPr="00ED7293" w:rsidRDefault="001A420C" w:rsidP="00ED7293">
    <w:pPr>
      <w:pStyle w:val="Header"/>
      <w:jc w:val="right"/>
      <w:rPr>
        <w:i/>
        <w:iCs/>
      </w:rPr>
    </w:pPr>
    <w:r>
      <w:rPr>
        <w:noProof/>
        <w:lang w:val="el-GR" w:eastAsia="el-G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s2049" type="#_x0000_t75" style="position:absolute;left:0;text-align:left;margin-left:-40.5pt;margin-top:-15.4pt;width:69pt;height:45.2pt;z-index:251660288;visibility:visible">
          <v:imagedata r:id="rId1" o:title=""/>
          <w10:wrap type="square"/>
        </v:shape>
      </w:pict>
    </w:r>
    <w:r w:rsidRPr="00ED7293">
      <w:rPr>
        <w:i/>
        <w:iCs/>
        <w:lang w:val="el-GR"/>
      </w:rPr>
      <w:t xml:space="preserve">Ανδρογενετική Αλωπεκία – </w:t>
    </w:r>
    <w:r w:rsidRPr="00ED7293">
      <w:rPr>
        <w:i/>
        <w:iCs/>
      </w:rPr>
      <w:t>CG210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F2717B"/>
    <w:multiLevelType w:val="hybridMultilevel"/>
    <w:tmpl w:val="8AD48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36AB7005"/>
    <w:multiLevelType w:val="hybridMultilevel"/>
    <w:tmpl w:val="7B76E890"/>
    <w:lvl w:ilvl="0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72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87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94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101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10860" w:hanging="360"/>
      </w:pPr>
      <w:rPr>
        <w:rFonts w:ascii="Wingdings" w:hAnsi="Wingdings" w:cs="Wingdings" w:hint="default"/>
      </w:rPr>
    </w:lvl>
  </w:abstractNum>
  <w:abstractNum w:abstractNumId="2">
    <w:nsid w:val="492B3EFD"/>
    <w:multiLevelType w:val="hybridMultilevel"/>
    <w:tmpl w:val="6F56D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67F97603"/>
    <w:multiLevelType w:val="hybridMultilevel"/>
    <w:tmpl w:val="B1F8F83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26C4"/>
    <w:rsid w:val="00124AB3"/>
    <w:rsid w:val="001323AB"/>
    <w:rsid w:val="001A420C"/>
    <w:rsid w:val="001C5151"/>
    <w:rsid w:val="00275F10"/>
    <w:rsid w:val="002A63B9"/>
    <w:rsid w:val="002E1643"/>
    <w:rsid w:val="002E257C"/>
    <w:rsid w:val="002F00E1"/>
    <w:rsid w:val="002F6CCC"/>
    <w:rsid w:val="00387CE1"/>
    <w:rsid w:val="00445E43"/>
    <w:rsid w:val="00452490"/>
    <w:rsid w:val="004625FB"/>
    <w:rsid w:val="004F57AC"/>
    <w:rsid w:val="00583273"/>
    <w:rsid w:val="00616308"/>
    <w:rsid w:val="0069016D"/>
    <w:rsid w:val="00696A37"/>
    <w:rsid w:val="006D5DC7"/>
    <w:rsid w:val="006D7796"/>
    <w:rsid w:val="006E005F"/>
    <w:rsid w:val="006F2033"/>
    <w:rsid w:val="00717F05"/>
    <w:rsid w:val="00720955"/>
    <w:rsid w:val="007A4900"/>
    <w:rsid w:val="00826CC8"/>
    <w:rsid w:val="00857383"/>
    <w:rsid w:val="008648D7"/>
    <w:rsid w:val="008A3F4C"/>
    <w:rsid w:val="008A4059"/>
    <w:rsid w:val="009026C4"/>
    <w:rsid w:val="009813E1"/>
    <w:rsid w:val="00A1203A"/>
    <w:rsid w:val="00A16BEA"/>
    <w:rsid w:val="00A42C94"/>
    <w:rsid w:val="00A53E5C"/>
    <w:rsid w:val="00A764F9"/>
    <w:rsid w:val="00AD0726"/>
    <w:rsid w:val="00AF6568"/>
    <w:rsid w:val="00C426D7"/>
    <w:rsid w:val="00D1615F"/>
    <w:rsid w:val="00D605D0"/>
    <w:rsid w:val="00D65EFF"/>
    <w:rsid w:val="00ED09D1"/>
    <w:rsid w:val="00ED72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273"/>
    <w:pPr>
      <w:spacing w:after="200" w:line="276" w:lineRule="auto"/>
    </w:pPr>
    <w:rPr>
      <w:rFonts w:cs="Calibri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4F57AC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7A4900"/>
    <w:pPr>
      <w:ind w:left="720"/>
    </w:pPr>
  </w:style>
  <w:style w:type="paragraph" w:styleId="Header">
    <w:name w:val="header"/>
    <w:basedOn w:val="Normal"/>
    <w:link w:val="HeaderChar"/>
    <w:uiPriority w:val="99"/>
    <w:rsid w:val="00ED729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D7293"/>
  </w:style>
  <w:style w:type="paragraph" w:styleId="Footer">
    <w:name w:val="footer"/>
    <w:basedOn w:val="Normal"/>
    <w:link w:val="FooterChar"/>
    <w:uiPriority w:val="99"/>
    <w:rsid w:val="00ED729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D7293"/>
  </w:style>
  <w:style w:type="paragraph" w:styleId="BalloonText">
    <w:name w:val="Balloon Text"/>
    <w:basedOn w:val="Normal"/>
    <w:link w:val="BalloonTextChar"/>
    <w:uiPriority w:val="99"/>
    <w:semiHidden/>
    <w:rsid w:val="00ED72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D72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103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65</TotalTime>
  <Pages>3</Pages>
  <Words>608</Words>
  <Characters>3286</Characters>
  <Application>Microsoft Office Outlook</Application>
  <DocSecurity>0</DocSecurity>
  <Lines>0</Lines>
  <Paragraphs>0</Paragraphs>
  <ScaleCrop>false</ScaleCrop>
  <Company>Latitude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ΔΕΛΤΙΟ ΤΥΠΟΥ</dc:title>
  <dc:subject/>
  <dc:creator>Giannis Vlachogiannis</dc:creator>
  <cp:keywords/>
  <dc:description/>
  <cp:lastModifiedBy>AGOURIDI.V</cp:lastModifiedBy>
  <cp:revision>2</cp:revision>
  <cp:lastPrinted>2013-09-03T09:09:00Z</cp:lastPrinted>
  <dcterms:created xsi:type="dcterms:W3CDTF">2013-09-18T11:34:00Z</dcterms:created>
  <dcterms:modified xsi:type="dcterms:W3CDTF">2013-09-18T11:34:00Z</dcterms:modified>
</cp:coreProperties>
</file>